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200"/>
        <w:jc w:val="center"/>
      </w:pPr>
      <w:r>
        <w:rPr>
          <w:rFonts w:ascii="Arial" w:cs="Arial" w:eastAsia="Arial" w:hAnsi="Arial"/>
          <w:b/>
          <w:bCs/>
          <w:color w:val="1F3864"/>
          <w:sz w:val="52"/>
          <w:szCs w:val="52"/>
        </w:rPr>
        <w:t xml:space="preserve">Le Start Up Solopreneur (OPC)</w:t>
      </w:r>
    </w:p>
    <w:p>
      <w:pPr>
        <w:spacing w:after="80" w:before="0"/>
        <w:jc w:val="center"/>
      </w:pPr>
      <w:r>
        <w:rPr>
          <w:rFonts w:ascii="Arial" w:cs="Arial" w:eastAsia="Arial" w:hAnsi="Arial"/>
          <w:b/>
          <w:bCs/>
          <w:color w:val="2E75B6"/>
          <w:sz w:val="36"/>
          <w:szCs w:val="36"/>
        </w:rPr>
        <w:t xml:space="preserve">One Person Companies</w:t>
      </w:r>
    </w:p>
    <w:p>
      <w:pPr>
        <w:spacing w:after="60" w:before="0"/>
        <w:jc w:val="center"/>
      </w:pPr>
      <w:r>
        <w:rPr>
          <w:rFonts w:ascii="Arial" w:cs="Arial" w:eastAsia="Arial" w:hAnsi="Arial"/>
          <w:i/>
          <w:iCs/>
          <w:color w:val="444444"/>
          <w:sz w:val="24"/>
          <w:szCs w:val="24"/>
        </w:rPr>
        <w:t xml:space="preserve">Impongono un Radicale Cambio sulle Metriche di Valutazione dei Fondi di Private Equity e Venture Capital</w:t>
      </w:r>
    </w:p>
    <w:p>
      <w:pPr>
        <w:spacing w:after="200" w:before="0"/>
        <w:jc w:val="center"/>
      </w:pPr>
      <w:r>
        <w:rPr>
          <w:rFonts w:ascii="Arial" w:cs="Arial" w:eastAsia="Arial" w:hAnsi="Arial"/>
          <w:i/>
          <w:iCs/>
          <w:color w:val="666666"/>
          <w:sz w:val="22"/>
          <w:szCs w:val="22"/>
        </w:rPr>
        <w:t xml:space="preserve">Il Caso della Sperimentazione a Suzhou e l’Intervento Pubblico di Sostegno</w:t>
      </w:r>
    </w:p>
    <w:p>
      <w:pPr>
        <w:pBdr>
          <w:bottom w:val="single" w:color="2E75B6" w:sz="6" w:space="1"/>
        </w:pBdr>
        <w:spacing w:after="120" w:before="120"/>
      </w:pPr>
      <w:r>
        <w:t xml:space="preserve"/>
      </w:r>
    </w:p>
    <w:p>
      <w:pPr>
        <w:spacing w:after="80" w:before="80"/>
      </w:pPr>
      <w:r>
        <w:t xml:space="preserve"/>
      </w:r>
    </w:p>
    <w:p>
      <w:pPr>
        <w:pStyle w:val="Heading1"/>
        <w:spacing w:after="180" w:before="360"/>
      </w:pPr>
      <w:r>
        <w:rPr>
          <w:rFonts w:ascii="Arial" w:cs="Arial" w:eastAsia="Arial" w:hAnsi="Arial"/>
          <w:b/>
          <w:bCs/>
          <w:color w:val="1F3864"/>
          <w:sz w:val="32"/>
          <w:szCs w:val="32"/>
        </w:rPr>
        <w:t xml:space="preserve">1. Il Fenomeno OPC: Definizione e Portata</w:t>
      </w:r>
    </w:p>
    <w:p>
      <w:pPr>
        <w:spacing w:after="100" w:before="60" w:line="320"/>
        <w:jc w:val="both"/>
      </w:pPr>
      <w:r>
        <w:rPr>
          <w:rFonts w:ascii="Arial" w:cs="Arial" w:eastAsia="Arial" w:hAnsi="Arial"/>
          <w:sz w:val="24"/>
          <w:szCs w:val="24"/>
        </w:rPr>
        <w:t xml:space="preserve">Il modello della One Person Company (OPC) — definita anche “solopreneur enterprise” — rappresenta una delle trasformazioni più significative del panorama imprenditoriale globale nell’ultimo quinquennio. Si tratta di entità economiche fondate, gestite e scalate da un unico individuo, che attraverso l’utilizzo intensivo di tecnologie di intelligenza artificiale, piattaforme digitali e automazione avanzata, raggiunge livelli di output, fatturato e impatto competitivo che in precedenza richiedevano decine o centinaia di dipendenti.</w:t>
      </w:r>
    </w:p>
    <w:p>
      <w:pPr>
        <w:spacing w:after="80" w:before="80"/>
      </w:pPr>
      <w:r>
        <w:t xml:space="preserve"/>
      </w:r>
    </w:p>
    <w:p>
      <w:pPr>
        <w:spacing w:after="100" w:before="60" w:line="320"/>
        <w:jc w:val="both"/>
      </w:pPr>
      <w:r>
        <w:rPr>
          <w:rFonts w:ascii="Arial" w:cs="Arial" w:eastAsia="Arial" w:hAnsi="Arial"/>
          <w:sz w:val="24"/>
          <w:szCs w:val="24"/>
        </w:rPr>
        <w:t xml:space="preserve">Secondo i dati più recenti, negli Stati Uniti si contano circa 29,8 milioni di solopreneur, che contribuiscono per 1.700 miliardi di dollari all’economia nazionale — il 6,8% dell’attività economica totale (SoloBusiness Hub, 2025). La quota di startup fondate da un unico fondatore è passata dal 23,7% del 2019 al 36,3% nella prima metà del 2025, con un incremento del 53% in soli sei anni (Impact Wealth / Carry-Founder Reports, 2026). In Cina, secondo il China OPC Development Research Report 2026, oltre 16 milioni di OPC erano registrate a metà 2025, rappresentando il 27,4% del totale delle società. Questo modello non rappresenta la semplice formalizzazione del lavoro autonomo: costituisce una nuova categoria imprenditoriale con caratteristiche strutturali proprie, che mette in discussione i fondamentali sui quali si basa l’analisi tradizionale degli investitori istituzionali.</w:t>
      </w:r>
    </w:p>
    <w:p>
      <w:pPr>
        <w:spacing w:after="80" w:before="80"/>
      </w:pPr>
      <w:r>
        <w:t xml:space="preserve"/>
      </w:r>
    </w:p>
    <w:p>
      <w:pPr>
        <w:pStyle w:val="Heading2"/>
        <w:spacing w:after="140" w:before="280"/>
      </w:pPr>
      <w:r>
        <w:rPr>
          <w:rFonts w:ascii="Arial" w:cs="Arial" w:eastAsia="Arial" w:hAnsi="Arial"/>
          <w:b/>
          <w:bCs/>
          <w:color w:val="2E75B6"/>
          <w:sz w:val="26"/>
          <w:szCs w:val="26"/>
        </w:rPr>
        <w:t xml:space="preserve">1.1 Caratteristiche Strutturali Distintive</w:t>
      </w:r>
    </w:p>
    <w:p>
      <w:pPr>
        <w:pStyle w:val="ListParagraph"/>
        <w:numPr>
          <w:ilvl w:val="0"/>
          <w:numId w:val="2"/>
        </w:numPr>
        <w:spacing w:after="40" w:before="40"/>
      </w:pPr>
      <w:r>
        <w:rPr>
          <w:rFonts w:ascii="Arial" w:cs="Arial" w:eastAsia="Arial" w:hAnsi="Arial"/>
          <w:sz w:val="24"/>
          <w:szCs w:val="24"/>
        </w:rPr>
        <w:t xml:space="preserve">Assenza di struttura organizzativa tradizionale: nessun layer manageriale, nessun cost center operativo fisso</w:t>
      </w:r>
    </w:p>
    <w:p>
      <w:pPr>
        <w:pStyle w:val="ListParagraph"/>
        <w:numPr>
          <w:ilvl w:val="0"/>
          <w:numId w:val="2"/>
        </w:numPr>
        <w:spacing w:after="40" w:before="40"/>
      </w:pPr>
      <w:r>
        <w:rPr>
          <w:rFonts w:ascii="Arial" w:cs="Arial" w:eastAsia="Arial" w:hAnsi="Arial"/>
          <w:sz w:val="24"/>
          <w:szCs w:val="24"/>
        </w:rPr>
        <w:t xml:space="preserve">Scalabilità asincrona: la crescita del fatturato non è linearmente correlata alla crescita delle risorse umane</w:t>
      </w:r>
    </w:p>
    <w:p>
      <w:pPr>
        <w:pStyle w:val="ListParagraph"/>
        <w:numPr>
          <w:ilvl w:val="0"/>
          <w:numId w:val="2"/>
        </w:numPr>
        <w:spacing w:after="40" w:before="40"/>
      </w:pPr>
      <w:r>
        <w:rPr>
          <w:rFonts w:ascii="Arial" w:cs="Arial" w:eastAsia="Arial" w:hAnsi="Arial"/>
          <w:sz w:val="24"/>
          <w:szCs w:val="24"/>
        </w:rPr>
        <w:t xml:space="preserve">Dipendenza da ecosistemi digitali: la competitività è funzione della qualità dello stack tecnologico, non della dimensione</w:t>
      </w:r>
    </w:p>
    <w:p>
      <w:pPr>
        <w:pStyle w:val="ListParagraph"/>
        <w:numPr>
          <w:ilvl w:val="0"/>
          <w:numId w:val="2"/>
        </w:numPr>
        <w:spacing w:after="40" w:before="40"/>
      </w:pPr>
      <w:r>
        <w:rPr>
          <w:rFonts w:ascii="Arial" w:cs="Arial" w:eastAsia="Arial" w:hAnsi="Arial"/>
          <w:sz w:val="24"/>
          <w:szCs w:val="24"/>
        </w:rPr>
        <w:t xml:space="preserve">Alta marginalità strutturale: con costi fissi minimi, i margini EBITDA delle OPC mature superano spesso il 70-80%</w:t>
      </w:r>
    </w:p>
    <w:p>
      <w:pPr>
        <w:pStyle w:val="ListParagraph"/>
        <w:numPr>
          <w:ilvl w:val="0"/>
          <w:numId w:val="2"/>
        </w:numPr>
        <w:spacing w:after="40" w:before="40"/>
      </w:pPr>
      <w:r>
        <w:rPr>
          <w:rFonts w:ascii="Arial" w:cs="Arial" w:eastAsia="Arial" w:hAnsi="Arial"/>
          <w:sz w:val="24"/>
          <w:szCs w:val="24"/>
        </w:rPr>
        <w:t xml:space="preserve">Concentrazione del rischio sulla persona-chiave: il fondatore è simultaneamente asset principale e principale punto di vulnerabilità</w:t>
      </w:r>
    </w:p>
    <w:p>
      <w:pPr>
        <w:spacing w:after="80" w:before="80"/>
      </w:pPr>
      <w:r>
        <w:t xml:space="preserve"/>
      </w:r>
    </w:p>
    <w:p>
      <w:pPr>
        <w:pStyle w:val="Heading1"/>
        <w:spacing w:after="180" w:before="360"/>
      </w:pPr>
      <w:r>
        <w:rPr>
          <w:rFonts w:ascii="Arial" w:cs="Arial" w:eastAsia="Arial" w:hAnsi="Arial"/>
          <w:b/>
          <w:bCs/>
          <w:color w:val="1F3864"/>
          <w:sz w:val="32"/>
          <w:szCs w:val="32"/>
        </w:rPr>
        <w:t xml:space="preserve">2. Il Problema delle Metriche Tradizionali</w:t>
      </w:r>
    </w:p>
    <w:p>
      <w:pPr>
        <w:spacing w:after="100" w:before="60" w:line="320"/>
        <w:jc w:val="both"/>
      </w:pPr>
      <w:r>
        <w:rPr>
          <w:rFonts w:ascii="Arial" w:cs="Arial" w:eastAsia="Arial" w:hAnsi="Arial"/>
          <w:sz w:val="24"/>
          <w:szCs w:val="24"/>
        </w:rPr>
        <w:t xml:space="preserve">I fondi di Private Equity e Venture Capital hanno storicamente sviluppato framework di valutazione costruiti attorno a parametri che presuppongono una struttura aziendale convenzionale: forza lavoro, gerarchia organizzativa, processi replicabili indipendenti dal fondatore, unit economics basate su costo per acquisizione cliente scalato su team di vendita, e proiezioni di crescita ancorate all’assunzione di nuovo personale.</w:t>
      </w:r>
    </w:p>
    <w:p>
      <w:pPr>
        <w:spacing w:after="80" w:before="80"/>
      </w:pPr>
      <w:r>
        <w:t xml:space="preserve"/>
      </w:r>
    </w:p>
    <w:p>
      <w:pPr>
        <w:spacing w:after="100" w:before="60" w:line="320"/>
        <w:jc w:val="both"/>
      </w:pPr>
      <w:r>
        <w:rPr>
          <w:rFonts w:ascii="Arial" w:cs="Arial" w:eastAsia="Arial" w:hAnsi="Arial"/>
          <w:sz w:val="24"/>
          <w:szCs w:val="24"/>
        </w:rPr>
        <w:t xml:space="preserve">Applicare questi parametri alle OPC produce sistematicamente una sottovalutazione del potenziale e una sopravvalutazione del rischio. I modelli DCF (Discounted Cash Flow) tradizionali penalizzano la concentrazione del fatturato su un’unica persona; i multipli EV/EBITDA non catturano il valore dell’ecosistema digitale costruito dal solopreneur; i framework di due diligence organizzativa risultano inapplicabili in assenza di struttura. Vale la pena notare che le stesse linee guida IPEV 2025 (International Private Equity and Venture Capital Valuation Guidelines, dicembre 2025) — il riferimento gold standard per la valutazione degli investimenti in private capital — introducono per la prima volta una sezione dedicata agli strumenti ibridi e alle strutture di capitale complesse, segnalando la necessità di modelli più flessibili rispetto all’approccio “one-size-fits-all” del passato. Le OPC rappresentano il caso limite più estremo di questa inadeguatezza.</w:t>
      </w:r>
    </w:p>
    <w:p>
      <w:pPr>
        <w:spacing w:after="80" w:before="80"/>
      </w:pPr>
      <w:r>
        <w:t xml:space="preserve"/>
      </w:r>
    </w:p>
    <w:p>
      <w:pPr>
        <w:pStyle w:val="Heading2"/>
        <w:spacing w:after="140" w:before="280"/>
      </w:pPr>
      <w:r>
        <w:rPr>
          <w:rFonts w:ascii="Arial" w:cs="Arial" w:eastAsia="Arial" w:hAnsi="Arial"/>
          <w:b/>
          <w:bCs/>
          <w:color w:val="2E75B6"/>
          <w:sz w:val="26"/>
          <w:szCs w:val="26"/>
        </w:rPr>
        <w:t xml:space="preserve">2.1 Le Nuove Metriche Necessarie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013"/>
        <w:gridCol w:w="3013"/>
      </w:tblGrid>
      <w:tr>
        <w:trPr>
          <w:tblHeader/>
        </w:trPr>
        <w:tc>
          <w:tcPr>
            <w:tcW w:type="dxa" w:w="3000"/>
            <w:tcBorders>
              <w:top w:val="single" w:color="CCCCCC" w:sz="1"/>
              <w:left w:val="single" w:color="CCCCCC" w:sz="1"/>
              <w:bottom w:val="single" w:color="CCCCCC" w:sz="1"/>
              <w:right w:val="single" w:color="CCCCCC" w:sz="1"/>
            </w:tcBorders>
            <w:shd w:fill="1F3864" w:val="clear"/>
            <w:tcMar>
              <w:top w:type="dxa" w:w="100"/>
              <w:left w:type="dxa" w:w="150"/>
              <w:bottom w:type="dxa" w:w="100"/>
              <w:right w:type="dxa" w:w="150"/>
            </w:tcMar>
          </w:tcPr>
          <w:p>
            <w:r>
              <w:rPr>
                <w:rFonts w:ascii="Arial" w:cs="Arial" w:eastAsia="Arial" w:hAnsi="Arial"/>
                <w:b/>
                <w:bCs/>
                <w:color w:val="FFFFFF"/>
                <w:sz w:val="20"/>
                <w:szCs w:val="20"/>
              </w:rPr>
              <w:t xml:space="preserve">Metrica Tradizionale</w:t>
            </w:r>
          </w:p>
        </w:tc>
        <w:tc>
          <w:tcPr>
            <w:tcW w:type="dxa" w:w="3013"/>
            <w:tcBorders>
              <w:top w:val="single" w:color="CCCCCC" w:sz="1"/>
              <w:left w:val="single" w:color="CCCCCC" w:sz="1"/>
              <w:bottom w:val="single" w:color="CCCCCC" w:sz="1"/>
              <w:right w:val="single" w:color="CCCCCC" w:sz="1"/>
            </w:tcBorders>
            <w:shd w:fill="1F3864" w:val="clear"/>
            <w:tcMar>
              <w:top w:type="dxa" w:w="100"/>
              <w:left w:type="dxa" w:w="150"/>
              <w:bottom w:type="dxa" w:w="100"/>
              <w:right w:type="dxa" w:w="150"/>
            </w:tcMar>
          </w:tcPr>
          <w:p>
            <w:r>
              <w:rPr>
                <w:rFonts w:ascii="Arial" w:cs="Arial" w:eastAsia="Arial" w:hAnsi="Arial"/>
                <w:b/>
                <w:bCs/>
                <w:color w:val="FFFFFF"/>
                <w:sz w:val="20"/>
                <w:szCs w:val="20"/>
              </w:rPr>
              <w:t xml:space="preserve">Limite per OPC</w:t>
            </w:r>
          </w:p>
        </w:tc>
        <w:tc>
          <w:tcPr>
            <w:tcW w:type="dxa" w:w="3013"/>
            <w:tcBorders>
              <w:top w:val="single" w:color="CCCCCC" w:sz="1"/>
              <w:left w:val="single" w:color="CCCCCC" w:sz="1"/>
              <w:bottom w:val="single" w:color="CCCCCC" w:sz="1"/>
              <w:right w:val="single" w:color="CCCCCC" w:sz="1"/>
            </w:tcBorders>
            <w:shd w:fill="1F3864" w:val="clear"/>
            <w:tcMar>
              <w:top w:type="dxa" w:w="100"/>
              <w:left w:type="dxa" w:w="150"/>
              <w:bottom w:type="dxa" w:w="100"/>
              <w:right w:type="dxa" w:w="150"/>
            </w:tcMar>
          </w:tcPr>
          <w:p>
            <w:r>
              <w:rPr>
                <w:rFonts w:ascii="Arial" w:cs="Arial" w:eastAsia="Arial" w:hAnsi="Arial"/>
                <w:b/>
                <w:bCs/>
                <w:color w:val="FFFFFF"/>
                <w:sz w:val="20"/>
                <w:szCs w:val="20"/>
              </w:rPr>
              <w:t xml:space="preserve">Metrica Adattata</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50"/>
              <w:bottom w:type="dxa" w:w="80"/>
              <w:right w:type="dxa" w:w="150"/>
            </w:tcMar>
          </w:tcPr>
          <w:p>
            <w:r>
              <w:rPr>
                <w:rFonts w:ascii="Arial" w:cs="Arial" w:eastAsia="Arial" w:hAnsi="Arial"/>
                <w:sz w:val="20"/>
                <w:szCs w:val="20"/>
              </w:rPr>
              <w:t xml:space="preserve">Team size &amp; headcount</w:t>
            </w:r>
          </w:p>
        </w:tc>
        <w:tc>
          <w:tcPr>
            <w:tcW w:type="dxa" w:w="3013"/>
            <w:tcBorders>
              <w:top w:val="single" w:color="CCCCCC" w:sz="1"/>
              <w:left w:val="single" w:color="CCCCCC" w:sz="1"/>
              <w:bottom w:val="single" w:color="CCCCCC" w:sz="1"/>
              <w:right w:val="single" w:color="CCCCCC" w:sz="1"/>
            </w:tcBorders>
            <w:shd w:fill="EBF3FB" w:val="clear"/>
            <w:tcMar>
              <w:top w:type="dxa" w:w="80"/>
              <w:left w:type="dxa" w:w="150"/>
              <w:bottom w:type="dxa" w:w="80"/>
              <w:right w:type="dxa" w:w="150"/>
            </w:tcMar>
          </w:tcPr>
          <w:p>
            <w:r>
              <w:rPr>
                <w:rFonts w:ascii="Arial" w:cs="Arial" w:eastAsia="Arial" w:hAnsi="Arial"/>
                <w:sz w:val="20"/>
                <w:szCs w:val="20"/>
              </w:rPr>
              <w:t xml:space="preserve">Irrilevante: 1 persona by design</w:t>
            </w:r>
          </w:p>
        </w:tc>
        <w:tc>
          <w:tcPr>
            <w:tcW w:type="dxa" w:w="3013"/>
            <w:tcBorders>
              <w:top w:val="single" w:color="CCCCCC" w:sz="1"/>
              <w:left w:val="single" w:color="CCCCCC" w:sz="1"/>
              <w:bottom w:val="single" w:color="CCCCCC" w:sz="1"/>
              <w:right w:val="single" w:color="CCCCCC" w:sz="1"/>
            </w:tcBorders>
            <w:shd w:fill="EBF3FB" w:val="clear"/>
            <w:tcMar>
              <w:top w:type="dxa" w:w="80"/>
              <w:left w:type="dxa" w:w="150"/>
              <w:bottom w:type="dxa" w:w="80"/>
              <w:right w:type="dxa" w:w="150"/>
            </w:tcMar>
          </w:tcPr>
          <w:p>
            <w:r>
              <w:rPr>
                <w:rFonts w:ascii="Arial" w:cs="Arial" w:eastAsia="Arial" w:hAnsi="Arial"/>
                <w:sz w:val="20"/>
                <w:szCs w:val="20"/>
              </w:rPr>
              <w:t xml:space="preserve">Automation Leverage Ratio (ALR)</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Burn rate / runway</w:t>
            </w:r>
          </w:p>
        </w:tc>
        <w:tc>
          <w:tcPr>
            <w:tcW w:type="dxa" w:w="3013"/>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Strutturalmente basso, fuorviante</w:t>
            </w:r>
          </w:p>
        </w:tc>
        <w:tc>
          <w:tcPr>
            <w:tcW w:type="dxa" w:w="3013"/>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Net Margin Velocity</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50"/>
              <w:bottom w:type="dxa" w:w="80"/>
              <w:right w:type="dxa" w:w="150"/>
            </w:tcMar>
          </w:tcPr>
          <w:p>
            <w:r>
              <w:rPr>
                <w:rFonts w:ascii="Arial" w:cs="Arial" w:eastAsia="Arial" w:hAnsi="Arial"/>
                <w:sz w:val="20"/>
                <w:szCs w:val="20"/>
              </w:rPr>
              <w:t xml:space="preserve">TAM / SAM / SOM</w:t>
            </w:r>
          </w:p>
        </w:tc>
        <w:tc>
          <w:tcPr>
            <w:tcW w:type="dxa" w:w="3013"/>
            <w:tcBorders>
              <w:top w:val="single" w:color="CCCCCC" w:sz="1"/>
              <w:left w:val="single" w:color="CCCCCC" w:sz="1"/>
              <w:bottom w:val="single" w:color="CCCCCC" w:sz="1"/>
              <w:right w:val="single" w:color="CCCCCC" w:sz="1"/>
            </w:tcBorders>
            <w:shd w:fill="EBF3FB" w:val="clear"/>
            <w:tcMar>
              <w:top w:type="dxa" w:w="80"/>
              <w:left w:type="dxa" w:w="150"/>
              <w:bottom w:type="dxa" w:w="80"/>
              <w:right w:type="dxa" w:w="150"/>
            </w:tcMar>
          </w:tcPr>
          <w:p>
            <w:r>
              <w:rPr>
                <w:rFonts w:ascii="Arial" w:cs="Arial" w:eastAsia="Arial" w:hAnsi="Arial"/>
                <w:sz w:val="20"/>
                <w:szCs w:val="20"/>
              </w:rPr>
              <w:t xml:space="preserve">Sottostimato per nicchie digitali</w:t>
            </w:r>
          </w:p>
        </w:tc>
        <w:tc>
          <w:tcPr>
            <w:tcW w:type="dxa" w:w="3013"/>
            <w:tcBorders>
              <w:top w:val="single" w:color="CCCCCC" w:sz="1"/>
              <w:left w:val="single" w:color="CCCCCC" w:sz="1"/>
              <w:bottom w:val="single" w:color="CCCCCC" w:sz="1"/>
              <w:right w:val="single" w:color="CCCCCC" w:sz="1"/>
            </w:tcBorders>
            <w:shd w:fill="EBF3FB" w:val="clear"/>
            <w:tcMar>
              <w:top w:type="dxa" w:w="80"/>
              <w:left w:type="dxa" w:w="150"/>
              <w:bottom w:type="dxa" w:w="80"/>
              <w:right w:type="dxa" w:w="150"/>
            </w:tcMar>
          </w:tcPr>
          <w:p>
            <w:r>
              <w:rPr>
                <w:rFonts w:ascii="Arial" w:cs="Arial" w:eastAsia="Arial" w:hAnsi="Arial"/>
                <w:sz w:val="20"/>
                <w:szCs w:val="20"/>
              </w:rPr>
              <w:t xml:space="preserve">Niche Dominance Index</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Scalabilità del team vendita</w:t>
            </w:r>
          </w:p>
        </w:tc>
        <w:tc>
          <w:tcPr>
            <w:tcW w:type="dxa" w:w="3013"/>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Assente o minima</w:t>
            </w:r>
          </w:p>
        </w:tc>
        <w:tc>
          <w:tcPr>
            <w:tcW w:type="dxa" w:w="3013"/>
            <w:tcBorders>
              <w:top w:val="single" w:color="CCCCCC" w:sz="1"/>
              <w:left w:val="single" w:color="CCCCCC" w:sz="1"/>
              <w:bottom w:val="single" w:color="CCCCCC" w:sz="1"/>
              <w:right w:val="single" w:color="CCCCCC" w:sz="1"/>
            </w:tcBorders>
            <w:shd w:fill="FFFFFF" w:val="clear"/>
            <w:tcMar>
              <w:top w:type="dxa" w:w="80"/>
              <w:left w:type="dxa" w:w="150"/>
              <w:bottom w:type="dxa" w:w="80"/>
              <w:right w:type="dxa" w:w="150"/>
            </w:tcMar>
          </w:tcPr>
          <w:p>
            <w:r>
              <w:rPr>
                <w:rFonts w:ascii="Arial" w:cs="Arial" w:eastAsia="Arial" w:hAnsi="Arial"/>
                <w:sz w:val="20"/>
                <w:szCs w:val="20"/>
              </w:rPr>
              <w:t xml:space="preserve">Revenue per Automation Unit</w:t>
            </w:r>
          </w:p>
        </w:tc>
      </w:tr>
      <w:tr>
        <w:tc>
          <w:tcPr>
            <w:tcW w:type="dxa" w:w="3000"/>
            <w:tcBorders>
              <w:top w:val="single" w:color="CCCCCC" w:sz="1"/>
              <w:left w:val="single" w:color="CCCCCC" w:sz="1"/>
              <w:bottom w:val="single" w:color="CCCCCC" w:sz="1"/>
              <w:right w:val="single" w:color="CCCCCC" w:sz="1"/>
            </w:tcBorders>
            <w:shd w:fill="EBF3FB" w:val="clear"/>
            <w:tcMar>
              <w:top w:type="dxa" w:w="80"/>
              <w:left w:type="dxa" w:w="150"/>
              <w:bottom w:type="dxa" w:w="80"/>
              <w:right w:type="dxa" w:w="150"/>
            </w:tcMar>
          </w:tcPr>
          <w:p>
            <w:r>
              <w:rPr>
                <w:rFonts w:ascii="Arial" w:cs="Arial" w:eastAsia="Arial" w:hAnsi="Arial"/>
                <w:sz w:val="20"/>
                <w:szCs w:val="20"/>
              </w:rPr>
              <w:t xml:space="preserve">Rischio key-person</w:t>
            </w:r>
          </w:p>
        </w:tc>
        <w:tc>
          <w:tcPr>
            <w:tcW w:type="dxa" w:w="3013"/>
            <w:tcBorders>
              <w:top w:val="single" w:color="CCCCCC" w:sz="1"/>
              <w:left w:val="single" w:color="CCCCCC" w:sz="1"/>
              <w:bottom w:val="single" w:color="CCCCCC" w:sz="1"/>
              <w:right w:val="single" w:color="CCCCCC" w:sz="1"/>
            </w:tcBorders>
            <w:shd w:fill="EBF3FB" w:val="clear"/>
            <w:tcMar>
              <w:top w:type="dxa" w:w="80"/>
              <w:left w:type="dxa" w:w="150"/>
              <w:bottom w:type="dxa" w:w="80"/>
              <w:right w:type="dxa" w:w="150"/>
            </w:tcMar>
          </w:tcPr>
          <w:p>
            <w:r>
              <w:rPr>
                <w:rFonts w:ascii="Arial" w:cs="Arial" w:eastAsia="Arial" w:hAnsi="Arial"/>
                <w:sz w:val="20"/>
                <w:szCs w:val="20"/>
              </w:rPr>
              <w:t xml:space="preserve">Massimo ma non quantificato</w:t>
            </w:r>
          </w:p>
        </w:tc>
        <w:tc>
          <w:tcPr>
            <w:tcW w:type="dxa" w:w="3013"/>
            <w:tcBorders>
              <w:top w:val="single" w:color="CCCCCC" w:sz="1"/>
              <w:left w:val="single" w:color="CCCCCC" w:sz="1"/>
              <w:bottom w:val="single" w:color="CCCCCC" w:sz="1"/>
              <w:right w:val="single" w:color="CCCCCC" w:sz="1"/>
            </w:tcBorders>
            <w:shd w:fill="EBF3FB" w:val="clear"/>
            <w:tcMar>
              <w:top w:type="dxa" w:w="80"/>
              <w:left w:type="dxa" w:w="150"/>
              <w:bottom w:type="dxa" w:w="80"/>
              <w:right w:type="dxa" w:w="150"/>
            </w:tcMar>
          </w:tcPr>
          <w:p>
            <w:r>
              <w:rPr>
                <w:rFonts w:ascii="Arial" w:cs="Arial" w:eastAsia="Arial" w:hAnsi="Arial"/>
                <w:sz w:val="20"/>
                <w:szCs w:val="20"/>
              </w:rPr>
              <w:t xml:space="preserve">Founder-Asset Separation Score</w:t>
            </w:r>
          </w:p>
        </w:tc>
      </w:tr>
    </w:tbl>
    <w:p>
      <w:pPr>
        <w:spacing w:after="80" w:before="80"/>
      </w:pPr>
      <w:r>
        <w:t xml:space="preserve"/>
      </w:r>
    </w:p>
    <w:p>
      <w:pPr>
        <w:pStyle w:val="Heading1"/>
        <w:spacing w:after="180" w:before="360"/>
      </w:pPr>
      <w:r>
        <w:rPr>
          <w:rFonts w:ascii="Arial" w:cs="Arial" w:eastAsia="Arial" w:hAnsi="Arial"/>
          <w:b/>
          <w:bCs/>
          <w:color w:val="1F3864"/>
          <w:sz w:val="32"/>
          <w:szCs w:val="32"/>
        </w:rPr>
        <w:t xml:space="preserve">3. Il Caso Suzhou: Laboratorio Globale per le OPC</w:t>
      </w:r>
    </w:p>
    <w:p>
      <w:pPr>
        <w:spacing w:after="100" w:before="60" w:line="320"/>
        <w:jc w:val="both"/>
      </w:pPr>
      <w:r>
        <w:rPr>
          <w:rFonts w:ascii="Arial" w:cs="Arial" w:eastAsia="Arial" w:hAnsi="Arial"/>
          <w:sz w:val="24"/>
          <w:szCs w:val="24"/>
        </w:rPr>
        <w:t xml:space="preserve">Suzhou — principale polo industriale del Delta del Fiume Yangtze — è diventata il laboratorio globale più avanzato per lo sviluppo delle One Person Companies basate sull’AI. L’iniziativa ha preso forma l’11 novembre 2025, quando la città ha ospitato la “2025 Jiangsu Artificial Intelligence Innovation and Development Conference and the First AI OPC Conference”: un evento che ha sancito ufficialmente il modello OPC come priorità strategica per lo sviluppo economico della provincia (Xinhua, aprile 2026; 36Kr, novembre 2025).</w:t>
      </w:r>
    </w:p>
    <w:p>
      <w:pPr>
        <w:spacing w:after="80" w:before="80"/>
      </w:pPr>
      <w:r>
        <w:t xml:space="preserve"/>
      </w:r>
    </w:p>
    <w:p>
      <w:pPr>
        <w:pStyle w:val="Heading2"/>
        <w:spacing w:after="140" w:before="280"/>
      </w:pPr>
      <w:r>
        <w:rPr>
          <w:rFonts w:ascii="Arial" w:cs="Arial" w:eastAsia="Arial" w:hAnsi="Arial"/>
          <w:b/>
          <w:bCs/>
          <w:color w:val="2E75B6"/>
          <w:sz w:val="26"/>
          <w:szCs w:val="26"/>
        </w:rPr>
        <w:t xml:space="preserve">3.1 Struttura del Programma</w:t>
      </w:r>
    </w:p>
    <w:p>
      <w:pPr>
        <w:spacing w:after="100" w:before="60" w:line="320"/>
        <w:jc w:val="both"/>
      </w:pPr>
      <w:r>
        <w:rPr>
          <w:rFonts w:ascii="Arial" w:cs="Arial" w:eastAsia="Arial" w:hAnsi="Arial"/>
          <w:sz w:val="24"/>
          <w:szCs w:val="24"/>
        </w:rPr>
        <w:t xml:space="preserve">Il programma si articola su assi complementari, ciascuno progettato per affrontare le specifiche criticità strutturali delle OPC:</w:t>
      </w:r>
    </w:p>
    <w:p>
      <w:pPr>
        <w:spacing w:after="80" w:before="80"/>
      </w:pPr>
      <w:r>
        <w:t xml:space="preserve"/>
      </w:r>
    </w:p>
    <w:p>
      <w:pPr>
        <w:pStyle w:val="ListParagraph"/>
        <w:numPr>
          <w:ilvl w:val="0"/>
          <w:numId w:val="2"/>
        </w:numPr>
        <w:spacing w:after="40" w:before="40"/>
      </w:pPr>
      <w:r>
        <w:rPr>
          <w:rFonts w:ascii="Arial" w:cs="Arial" w:eastAsia="Arial" w:hAnsi="Arial"/>
          <w:sz w:val="24"/>
          <w:szCs w:val="24"/>
        </w:rPr>
        <w:t xml:space="preserve">Framework Regolatorio: la revisione del Company Law cinese, entrata in vigore il 1° luglio 2024, ha semplificato la registrazione e abbassato i requisiti di capitale, rendendo la costituzione di una OPC accessibile a un numero molto maggiore di individui (China.org.cn, 2026).</w:t>
      </w:r>
    </w:p>
    <w:p>
      <w:pPr>
        <w:pStyle w:val="ListParagraph"/>
        <w:numPr>
          <w:ilvl w:val="0"/>
          <w:numId w:val="2"/>
        </w:numPr>
        <w:spacing w:after="40" w:before="40"/>
      </w:pPr>
      <w:r>
        <w:rPr>
          <w:rFonts w:ascii="Arial" w:cs="Arial" w:eastAsia="Arial" w:hAnsi="Arial"/>
          <w:sz w:val="24"/>
          <w:szCs w:val="24"/>
        </w:rPr>
        <w:t xml:space="preserve">Ecosistema di Supporto: Suzhou Venture Capital Group ha avviato da maggio 2024 un programma dedicato alle OPC, con fondi a durata estesa fino a 15 anni — eliminando la pressione dell’exit triennale tipica del VC tradizionale. L’OPC Investment and Financing Roadshow dell’11 novembre 2025 ha visto 20 progetti AI d’avanguardia da dieci università di primo livello competere per accedere agli investimenti (36Kr EN, 2025).</w:t>
      </w:r>
    </w:p>
    <w:p>
      <w:pPr>
        <w:pStyle w:val="ListParagraph"/>
        <w:numPr>
          <w:ilvl w:val="0"/>
          <w:numId w:val="2"/>
        </w:numPr>
        <w:spacing w:after="40" w:before="40"/>
      </w:pPr>
      <w:r>
        <w:rPr>
          <w:rFonts w:ascii="Arial" w:cs="Arial" w:eastAsia="Arial" w:hAnsi="Arial"/>
          <w:sz w:val="24"/>
          <w:szCs w:val="24"/>
        </w:rPr>
        <w:t xml:space="preserve">Pacchetti di Incentivo Competitivi: i progetti vincitori del “2026 International AI OPC Entrepreneurship Competition” ricevono premi fino a 300.000 RMB, con pacchetti di supporto complessivi fino a 4 milioni di RMB per le OPC che si insediano a Suzhou. Il programma include anche l’accesso a 100 modelli verticali, 100 dataset di qualità e 100 scenari applicativi (Baidu Wiki — One Person Company, 2026).</w:t>
      </w:r>
    </w:p>
    <w:p>
      <w:pPr>
        <w:pStyle w:val="ListParagraph"/>
        <w:numPr>
          <w:ilvl w:val="0"/>
          <w:numId w:val="2"/>
        </w:numPr>
        <w:spacing w:after="40" w:before="40"/>
      </w:pPr>
      <w:r>
        <w:rPr>
          <w:rFonts w:ascii="Arial" w:cs="Arial" w:eastAsia="Arial" w:hAnsi="Arial"/>
          <w:sz w:val="24"/>
          <w:szCs w:val="24"/>
        </w:rPr>
        <w:t xml:space="preserve">Target di Sviluppo: Suzhou punta a diventare una “OPC city” con 30 comunità OPC e 1.000 imprese attive entro il 2028 (Macau Daily Times, maggio 2026).</w:t>
      </w:r>
    </w:p>
    <w:p>
      <w:pPr>
        <w:spacing w:after="80" w:before="80"/>
      </w:pPr>
      <w:r>
        <w:t xml:space="preserve"/>
      </w:r>
    </w:p>
    <w:p>
      <w:pPr>
        <w:pStyle w:val="Heading2"/>
        <w:spacing w:after="140" w:before="280"/>
      </w:pPr>
      <w:r>
        <w:rPr>
          <w:rFonts w:ascii="Arial" w:cs="Arial" w:eastAsia="Arial" w:hAnsi="Arial"/>
          <w:b/>
          <w:bCs/>
          <w:color w:val="2E75B6"/>
          <w:sz w:val="26"/>
          <w:szCs w:val="26"/>
        </w:rPr>
        <w:t xml:space="preserve">3.2 Impatto e Dinamiche del Modello</w:t>
      </w:r>
    </w:p>
    <w:p>
      <w:pPr>
        <w:spacing w:after="100" w:before="60" w:line="320"/>
        <w:jc w:val="both"/>
      </w:pPr>
      <w:r>
        <w:rPr>
          <w:rFonts w:ascii="Arial" w:cs="Arial" w:eastAsia="Arial" w:hAnsi="Arial"/>
          <w:sz w:val="24"/>
          <w:szCs w:val="24"/>
        </w:rPr>
        <w:t xml:space="preserve">L’effetto del programma di Suzhou si misura anche nei casi concreti: Dreame Technology, leader nel settore dei piccoli elettrodomestici intelligenti, ha incubato al suo interno un’unità OPC con un tempo medio di avvio di soli 12 giorni, ampiamente inferiore ai tempi delle imprese tradizionali. Il modello “una persona + dipendente AI = una company” si è diffuso rapidamente in altre città cinesi: Shanghai (distretto di Pudong), Nanjing, Shenzhen, Yangzhou e Lianyungang hanno lanciato propri action plan ispirati all’esperienza di Suzhou (Xinhua, 2026; News Beep, 2026).</w:t>
      </w:r>
    </w:p>
    <w:p>
      <w:pPr>
        <w:spacing w:after="80" w:before="80"/>
      </w:pPr>
      <w:r>
        <w:t xml:space="preserve"/>
      </w:r>
    </w:p>
    <w:p>
      <w:pPr>
        <w:pStyle w:val="Heading1"/>
        <w:spacing w:after="180" w:before="360"/>
      </w:pPr>
      <w:r>
        <w:rPr>
          <w:rFonts w:ascii="Arial" w:cs="Arial" w:eastAsia="Arial" w:hAnsi="Arial"/>
          <w:b/>
          <w:bCs/>
          <w:color w:val="1F3864"/>
          <w:sz w:val="32"/>
          <w:szCs w:val="32"/>
        </w:rPr>
        <w:t xml:space="preserve">4. Implicazioni per i Fondi di PE e VC</w:t>
      </w:r>
    </w:p>
    <w:p>
      <w:pPr>
        <w:spacing w:after="100" w:before="60" w:line="320"/>
        <w:jc w:val="both"/>
      </w:pPr>
      <w:r>
        <w:rPr>
          <w:rFonts w:ascii="Arial" w:cs="Arial" w:eastAsia="Arial" w:hAnsi="Arial"/>
          <w:sz w:val="24"/>
          <w:szCs w:val="24"/>
        </w:rPr>
        <w:t xml:space="preserve">L’esperienza di Suzhou, unitamente alla crescita esponenziale delle OPC nei mercati occidentali, impone una riflessione strutturata per i gestori di fondi istituzionali. Emergono tre aree di intervento prioritarie.</w:t>
      </w:r>
    </w:p>
    <w:p>
      <w:pPr>
        <w:spacing w:after="80" w:before="80"/>
      </w:pPr>
      <w:r>
        <w:t xml:space="preserve"/>
      </w:r>
    </w:p>
    <w:p>
      <w:pPr>
        <w:pStyle w:val="Heading2"/>
        <w:spacing w:after="140" w:before="280"/>
      </w:pPr>
      <w:r>
        <w:rPr>
          <w:rFonts w:ascii="Arial" w:cs="Arial" w:eastAsia="Arial" w:hAnsi="Arial"/>
          <w:b/>
          <w:bCs/>
          <w:color w:val="2E75B6"/>
          <w:sz w:val="26"/>
          <w:szCs w:val="26"/>
        </w:rPr>
        <w:t xml:space="preserve">4.1 Ridisegnare i Criteri di Screening</w:t>
      </w:r>
    </w:p>
    <w:p>
      <w:pPr>
        <w:spacing w:after="100" w:before="60" w:line="320"/>
        <w:jc w:val="both"/>
      </w:pPr>
      <w:r>
        <w:rPr>
          <w:rFonts w:ascii="Arial" w:cs="Arial" w:eastAsia="Arial" w:hAnsi="Arial"/>
          <w:sz w:val="24"/>
          <w:szCs w:val="24"/>
        </w:rPr>
        <w:t xml:space="preserve">I fondi che intendono accedere al segmento OPC devono sviluppare criteri di pre-screening che valorizzino la qualità dello stack tecnologico, la profondità della nicchia servita, la storia di revenue ricorrente e la capacità del fondatore di operare come “architetto di sistemi automatizzati” piuttosto che come semplice esecutore. Il track record individuale del solopreneur diventa il principale asset da valutare.</w:t>
      </w:r>
    </w:p>
    <w:p>
      <w:pPr>
        <w:spacing w:after="80" w:before="80"/>
      </w:pPr>
      <w:r>
        <w:t xml:space="preserve"/>
      </w:r>
    </w:p>
    <w:p>
      <w:pPr>
        <w:pStyle w:val="Heading2"/>
        <w:spacing w:after="140" w:before="280"/>
      </w:pPr>
      <w:r>
        <w:rPr>
          <w:rFonts w:ascii="Arial" w:cs="Arial" w:eastAsia="Arial" w:hAnsi="Arial"/>
          <w:b/>
          <w:bCs/>
          <w:color w:val="2E75B6"/>
          <w:sz w:val="26"/>
          <w:szCs w:val="26"/>
        </w:rPr>
        <w:t xml:space="preserve">4.2 Strumenti Finanziari Ibridi</w:t>
      </w:r>
    </w:p>
    <w:p>
      <w:pPr>
        <w:spacing w:after="100" w:before="60" w:line="320"/>
        <w:jc w:val="both"/>
      </w:pPr>
      <w:r>
        <w:rPr>
          <w:rFonts w:ascii="Arial" w:cs="Arial" w:eastAsia="Arial" w:hAnsi="Arial"/>
          <w:sz w:val="24"/>
          <w:szCs w:val="24"/>
        </w:rPr>
        <w:t xml:space="preserve">L’equity tradizionale si rivela spesso inadeguata per le OPC, che per natura tendono a mantenere il controllo assoluto. Strumenti ibridi come revenue-based financing, royalty agreements e convertible notes con trigger legati a KPI operativi — piuttosto che a milestone di assunzione — risultano più allineati con la struttura di questi business.</w:t>
      </w:r>
    </w:p>
    <w:p>
      <w:pPr>
        <w:spacing w:after="80" w:before="80"/>
      </w:pPr>
      <w:r>
        <w:t xml:space="preserve"/>
      </w:r>
    </w:p>
    <w:p>
      <w:pPr>
        <w:pStyle w:val="Heading2"/>
        <w:spacing w:after="140" w:before="280"/>
      </w:pPr>
      <w:r>
        <w:rPr>
          <w:rFonts w:ascii="Arial" w:cs="Arial" w:eastAsia="Arial" w:hAnsi="Arial"/>
          <w:b/>
          <w:bCs/>
          <w:color w:val="2E75B6"/>
          <w:sz w:val="26"/>
          <w:szCs w:val="26"/>
        </w:rPr>
        <w:t xml:space="preserve">4.3 Governance e Protezione del Rischio Key-Person</w:t>
      </w:r>
    </w:p>
    <w:p>
      <w:pPr>
        <w:spacing w:after="100" w:before="60" w:line="320"/>
        <w:jc w:val="both"/>
      </w:pPr>
      <w:r>
        <w:rPr>
          <w:rFonts w:ascii="Arial" w:cs="Arial" w:eastAsia="Arial" w:hAnsi="Arial"/>
          <w:sz w:val="24"/>
          <w:szCs w:val="24"/>
        </w:rPr>
        <w:t xml:space="preserve">Il principale ostacolo all’investimento istituzionale nelle OPC è la concentrazione del rischio operativo e reputazionale sul fondatore. Soluzioni emergenti includono: accordi di successione operativa mediati da AI (trasferimento della conoscenza a sistemi), assicurazioni key-person strutturate ad hoc, e la costruzione di “firewalls documentali” che rendano i processi il più possibile indipendenti dalla presenza fisica del solopreneur.</w:t>
      </w:r>
    </w:p>
    <w:p>
      <w:pPr>
        <w:spacing w:after="80" w:before="80"/>
      </w:pPr>
      <w:r>
        <w:t xml:space="preserve"/>
      </w:r>
    </w:p>
    <w:p>
      <w:pPr>
        <w:pStyle w:val="Heading1"/>
        <w:spacing w:after="180" w:before="360"/>
      </w:pPr>
      <w:r>
        <w:rPr>
          <w:rFonts w:ascii="Arial" w:cs="Arial" w:eastAsia="Arial" w:hAnsi="Arial"/>
          <w:b/>
          <w:bCs/>
          <w:color w:val="1F3864"/>
          <w:sz w:val="32"/>
          <w:szCs w:val="32"/>
        </w:rPr>
        <w:t xml:space="preserve">5. Conclusioni e Prospettive</w:t>
      </w:r>
    </w:p>
    <w:p>
      <w:pPr>
        <w:spacing w:after="100" w:before="60" w:line="320"/>
        <w:jc w:val="both"/>
      </w:pPr>
      <w:r>
        <w:rPr>
          <w:rFonts w:ascii="Arial" w:cs="Arial" w:eastAsia="Arial" w:hAnsi="Arial"/>
          <w:sz w:val="24"/>
          <w:szCs w:val="24"/>
        </w:rPr>
        <w:t xml:space="preserve">Il fenomeno OPC non è un trend di nicchia: è una trasformazione strutturale del capitalismo imprenditoriale accelerata dall’intelligenza artificiale. I fondi di Private Equity e Venture Capital che non adatteranno i propri framework di valutazione rischiano di perdere l’accesso a una delle più significative opportunità di rendimento del prossimo decennio, o peggio, di commettere errori sistematici di pricing in entrambe le direzioni.</w:t>
      </w:r>
    </w:p>
    <w:p>
      <w:pPr>
        <w:spacing w:after="80" w:before="80"/>
      </w:pPr>
      <w:r>
        <w:t xml:space="preserve"/>
      </w:r>
    </w:p>
    <w:p>
      <w:pPr>
        <w:spacing w:after="100" w:before="60" w:line="320"/>
        <w:jc w:val="both"/>
      </w:pPr>
      <w:r>
        <w:rPr>
          <w:rFonts w:ascii="Arial" w:cs="Arial" w:eastAsia="Arial" w:hAnsi="Arial"/>
          <w:sz w:val="24"/>
          <w:szCs w:val="24"/>
        </w:rPr>
        <w:t xml:space="preserve">Il caso Suzhou dimostra che l’intervento pubblico intelligente — non sostitutivo ma abilitante — può accelerare lo sviluppo di ecosistemi OPC maturi e investibili. La sfida per i mercati europei e nordamericani è sviluppare analoghi framework istituzionali prima che il vantaggio competitivo dei laboratori asiatici diventi strutturalmente consolidato.</w:t>
      </w:r>
    </w:p>
    <w:p>
      <w:pPr>
        <w:spacing w:after="80" w:before="80"/>
      </w:pPr>
      <w:r>
        <w:t xml:space="preserve"/>
      </w:r>
    </w:p>
    <w:p>
      <w:pPr>
        <w:spacing w:after="100" w:before="60" w:line="320"/>
        <w:jc w:val="both"/>
      </w:pPr>
      <w:r>
        <w:rPr>
          <w:rFonts w:ascii="Arial" w:cs="Arial" w:eastAsia="Arial" w:hAnsi="Arial"/>
          <w:i/>
          <w:iCs/>
          <w:sz w:val="24"/>
          <w:szCs w:val="24"/>
        </w:rPr>
        <w:t xml:space="preserve">Chi investirà nella costruzione di nuovi linguaggi di valutazione per le OPC — nei fondi, nelle istituzioni pubbliche e nelle piattaforme di supporto all’innovazione — si posizionerà all’avanguardia di un mercato destinato a crescere di almeno un ordine di grandezza nei prossimi cinque anni.</w:t>
      </w:r>
    </w:p>
    <w:p>
      <w:pPr>
        <w:spacing w:after="80" w:before="80"/>
      </w:pPr>
      <w:r>
        <w:t xml:space="preserve"/>
      </w:r>
    </w:p>
    <w:p>
      <w:pPr>
        <w:pStyle w:val="Heading1"/>
        <w:spacing w:after="180" w:before="360"/>
      </w:pPr>
      <w:r>
        <w:rPr>
          <w:rFonts w:ascii="Arial" w:cs="Arial" w:eastAsia="Arial" w:hAnsi="Arial"/>
          <w:b/>
          <w:bCs/>
          <w:color w:val="1F3864"/>
          <w:sz w:val="32"/>
          <w:szCs w:val="32"/>
        </w:rPr>
        <w:t xml:space="preserve">6. Verso un Sistema Condiviso di Valutazione: dal Giudizio Singolo all’Intelligenza Collettiva</w:t>
      </w:r>
    </w:p>
    <w:p>
      <w:pPr>
        <w:spacing w:after="100" w:before="60" w:line="320"/>
        <w:jc w:val="both"/>
      </w:pPr>
      <w:r>
        <w:rPr>
          <w:rFonts w:ascii="Arial" w:cs="Arial" w:eastAsia="Arial" w:hAnsi="Arial"/>
          <w:sz w:val="24"/>
          <w:szCs w:val="24"/>
        </w:rPr>
        <w:t xml:space="preserve">Una delle proposte più promettenti che emerge dall’analisi del mercato OPC riguarda la costruzione di un sistema condiviso di valutazione, alimentato dai fondi stessi. L’idea di fondo è semplice ma potente: ogni fondo continua a valutare le OPC con i propri criteri e la propria metodologia interna, ma i dati e i giudizi prodotti confluiscono in una piattaforma comune, costruendo nel tempo una base di conoscenza collettiva sul mondo delle One Person Companies.</w:t>
      </w:r>
    </w:p>
    <w:p>
      <w:pPr>
        <w:spacing w:after="80" w:before="80"/>
      </w:pPr>
      <w:r>
        <w:t xml:space="preserve"/>
      </w:r>
    </w:p>
    <w:p>
      <w:pPr>
        <w:spacing w:after="100" w:before="60" w:line="320"/>
        <w:jc w:val="both"/>
      </w:pPr>
      <w:r>
        <w:rPr>
          <w:rFonts w:ascii="Arial" w:cs="Arial" w:eastAsia="Arial" w:hAnsi="Arial"/>
          <w:sz w:val="24"/>
          <w:szCs w:val="24"/>
        </w:rPr>
        <w:t xml:space="preserve">Il meccanismo è analogo a quello dei sistemi di rating condivisi nel credito bancario: ogni istituto effettua la propria valutazione del merito creditizio in modo autonomo e indipendente, ma i dati aggregati di migliaia di valutazioni alimentano un sistema centrale che restituisce a tutti i partecipanti una visione più accurata, più robusta e più comparabile del rischio. Applicato al mondo OPC, questo principio permetterebbe di costruire — dal basso e per accumulazione — quello standard di mercato che oggi manca e che nessun singolo attore ha la massa critica per sviluppare da solo.</w:t>
      </w:r>
    </w:p>
    <w:p>
      <w:pPr>
        <w:spacing w:after="80" w:before="80"/>
      </w:pPr>
      <w:r>
        <w:t xml:space="preserve"/>
      </w:r>
    </w:p>
    <w:p>
      <w:pPr>
        <w:spacing w:after="100" w:before="60" w:line="320"/>
        <w:jc w:val="both"/>
      </w:pPr>
      <w:r>
        <w:rPr>
          <w:rFonts w:ascii="Arial" w:cs="Arial" w:eastAsia="Arial" w:hAnsi="Arial"/>
          <w:sz w:val="24"/>
          <w:szCs w:val="24"/>
        </w:rPr>
        <w:t xml:space="preserve">In concreto, ogni fondo partecipante contribuirebbe con le proprie schede di valutazione anonimizzate: settore della OPC analizzata, profilo del founder, metriche operative chiave, esito della due diligence e — nel tempo — performance post-investimento. Il sistema aggregato restituisce benchmark comparativi, segnali di anomalia e pattern ricorrenti che affinano progressivamente la qualità del giudizio di tutti i partecipanti. Non si tratta di cedere informazioni proprietarie, ma di costruire un linguaggio comune che oggi semplicemente non esiste.</w:t>
      </w:r>
    </w:p>
    <w:p>
      <w:pPr>
        <w:spacing w:after="80" w:before="80"/>
      </w:pPr>
      <w:r>
        <w:t xml:space="preserve"/>
      </w:r>
    </w:p>
    <w:p>
      <w:pPr>
        <w:spacing w:after="100" w:before="60" w:line="320"/>
        <w:jc w:val="both"/>
      </w:pPr>
      <w:r>
        <w:rPr>
          <w:rFonts w:ascii="Arial" w:cs="Arial" w:eastAsia="Arial" w:hAnsi="Arial"/>
          <w:i/>
          <w:iCs/>
          <w:sz w:val="24"/>
          <w:szCs w:val="24"/>
        </w:rPr>
        <w:t xml:space="preserve">Il valore di questo sistema cresce in modo non lineare con il numero di partecipanti: più fondi contribuiscono, più il sistema diventa accurato, più diventa vantaggioso aderire. Chi entrerà per primo in questo ecosistema condiviso non solo beneficerà prima degli altri della conoscenza aggregata, ma contribuirà a definire le categorie e i criteri attorno ai quali si formerà lo standard — acquisendo un ruolo di leadership nella definizione del nuovo paradigma valutativo per le OPC.</w:t>
      </w:r>
    </w:p>
    <w:p>
      <w:pPr>
        <w:pBdr>
          <w:bottom w:val="single" w:color="2E75B6" w:sz="6" w:space="1"/>
        </w:pBdr>
        <w:spacing w:after="120" w:before="120"/>
      </w:pPr>
      <w:r>
        <w:t xml:space="preserve"/>
      </w:r>
    </w:p>
    <w:p>
      <w:pPr>
        <w:spacing w:after="80" w:before="80"/>
      </w:pPr>
      <w:r>
        <w:t xml:space="preserve"/>
      </w:r>
    </w:p>
    <w:p>
      <w:pPr>
        <w:jc w:val="center"/>
      </w:pPr>
      <w:r>
        <w:rPr>
          <w:rFonts w:ascii="Arial" w:cs="Arial" w:eastAsia="Arial" w:hAnsi="Arial"/>
          <w:i/>
          <w:iCs/>
          <w:color w:val="888888"/>
          <w:sz w:val="18"/>
          <w:szCs w:val="18"/>
        </w:rPr>
        <w:t xml:space="preserve">Documento elaborato con assistenza AI — Maggio 2026</w:t>
      </w:r>
    </w:p>
    <w:p>
      <w:pPr>
        <w:spacing w:after="80" w:before="80"/>
      </w:pPr>
      <w:r>
        <w:t xml:space="preserve"/>
      </w:r>
    </w:p>
    <w:p>
      <w:r>
        <w:br w:type="page"/>
      </w:r>
    </w:p>
    <w:p>
      <w:pPr>
        <w:pStyle w:val="Heading1"/>
        <w:spacing w:after="180" w:before="360"/>
      </w:pPr>
      <w:r>
        <w:rPr>
          <w:rFonts w:ascii="Arial" w:cs="Arial" w:eastAsia="Arial" w:hAnsi="Arial"/>
          <w:b/>
          <w:bCs/>
          <w:color w:val="1F3864"/>
          <w:sz w:val="32"/>
          <w:szCs w:val="32"/>
        </w:rPr>
        <w:t xml:space="preserve">Fonti e Riferimenti</w:t>
      </w:r>
    </w:p>
    <w:p>
      <w:pPr>
        <w:spacing w:after="100" w:before="60" w:line="320"/>
        <w:jc w:val="both"/>
      </w:pPr>
      <w:r>
        <w:rPr>
          <w:rFonts w:ascii="Arial" w:cs="Arial" w:eastAsia="Arial" w:hAnsi="Arial"/>
          <w:b/>
          <w:bCs/>
          <w:sz w:val="24"/>
          <w:szCs w:val="24"/>
        </w:rPr>
        <w:t xml:space="preserve">Le seguenti fonti sono state utilizzate per la redazione del presente documento:</w:t>
      </w:r>
    </w:p>
    <w:p>
      <w:pPr>
        <w:spacing w:after="80" w:before="80"/>
      </w:pPr>
      <w:r>
        <w:t xml:space="preserve"/>
      </w:r>
    </w:p>
    <w:p>
      <w:pPr>
        <w:pStyle w:val="Heading2"/>
        <w:spacing w:after="140" w:before="280"/>
      </w:pPr>
      <w:r>
        <w:rPr>
          <w:rFonts w:ascii="Arial" w:cs="Arial" w:eastAsia="Arial" w:hAnsi="Arial"/>
          <w:b/>
          <w:bCs/>
          <w:color w:val="2E75B6"/>
          <w:sz w:val="26"/>
          <w:szCs w:val="26"/>
        </w:rPr>
        <w:t xml:space="preserve">Fenomeno OPC e Dati Statistici</w:t>
      </w:r>
    </w:p>
    <w:p>
      <w:pPr>
        <w:pStyle w:val="ListParagraph"/>
        <w:numPr>
          <w:ilvl w:val="0"/>
          <w:numId w:val="2"/>
        </w:numPr>
        <w:spacing w:after="40" w:before="40"/>
      </w:pPr>
      <w:r>
        <w:rPr>
          <w:rFonts w:ascii="Arial" w:cs="Arial" w:eastAsia="Arial" w:hAnsi="Arial"/>
          <w:sz w:val="24"/>
          <w:szCs w:val="24"/>
        </w:rPr>
        <w:t xml:space="preserve">Impact Wealth / Carry-Founder Reports (2026). “The Expansion of One-Person Startups: Data Behind the Solo Founder Trend.” impactwealth.org, aprile 2026.</w:t>
      </w:r>
    </w:p>
    <w:p>
      <w:pPr>
        <w:pStyle w:val="ListParagraph"/>
        <w:numPr>
          <w:ilvl w:val="0"/>
          <w:numId w:val="2"/>
        </w:numPr>
        <w:spacing w:after="40" w:before="40"/>
      </w:pPr>
      <w:r>
        <w:rPr>
          <w:rFonts w:ascii="Arial" w:cs="Arial" w:eastAsia="Arial" w:hAnsi="Arial"/>
          <w:sz w:val="24"/>
          <w:szCs w:val="24"/>
        </w:rPr>
        <w:t xml:space="preserve">SoloBusiness Hub (2025). “Solo Business Trends 2025: The Rise of the One-Person Economy.” solobusinesshub.com.</w:t>
      </w:r>
    </w:p>
    <w:p>
      <w:pPr>
        <w:pStyle w:val="ListParagraph"/>
        <w:numPr>
          <w:ilvl w:val="0"/>
          <w:numId w:val="2"/>
        </w:numPr>
        <w:spacing w:after="40" w:before="40"/>
      </w:pPr>
      <w:r>
        <w:rPr>
          <w:rFonts w:ascii="Arial" w:cs="Arial" w:eastAsia="Arial" w:hAnsi="Arial"/>
          <w:sz w:val="24"/>
          <w:szCs w:val="24"/>
        </w:rPr>
        <w:t xml:space="preserve">AutoFaceless (2026). “Solopreneur Statistics 2026: 29.8 Million Solo Businesses, $1.7 Trillion Revenue &amp; AI-Driven Growth.” autofaceless.ai.</w:t>
      </w:r>
    </w:p>
    <w:p>
      <w:pPr>
        <w:pStyle w:val="ListParagraph"/>
        <w:numPr>
          <w:ilvl w:val="0"/>
          <w:numId w:val="2"/>
        </w:numPr>
        <w:spacing w:after="40" w:before="40"/>
      </w:pPr>
      <w:r>
        <w:rPr>
          <w:rFonts w:ascii="Arial" w:cs="Arial" w:eastAsia="Arial" w:hAnsi="Arial"/>
          <w:sz w:val="24"/>
          <w:szCs w:val="24"/>
        </w:rPr>
        <w:t xml:space="preserve">Gusto (2025). “Behind the Boom in Solopreneurship: Who’s Starting Them and Why — New Business Formation Survey 2025.” gusto.com.</w:t>
      </w:r>
    </w:p>
    <w:p>
      <w:pPr>
        <w:pStyle w:val="ListParagraph"/>
        <w:numPr>
          <w:ilvl w:val="0"/>
          <w:numId w:val="2"/>
        </w:numPr>
        <w:spacing w:after="40" w:before="40"/>
      </w:pPr>
      <w:r>
        <w:rPr>
          <w:rFonts w:ascii="Arial" w:cs="Arial" w:eastAsia="Arial" w:hAnsi="Arial"/>
          <w:sz w:val="24"/>
          <w:szCs w:val="24"/>
        </w:rPr>
        <w:t xml:space="preserve">Higo Creative (2025). “30+ Interesting Solopreneur Statistics.” higocreative.com.</w:t>
      </w:r>
    </w:p>
    <w:p>
      <w:pPr>
        <w:pStyle w:val="ListParagraph"/>
        <w:numPr>
          <w:ilvl w:val="0"/>
          <w:numId w:val="2"/>
        </w:numPr>
        <w:spacing w:after="40" w:before="40"/>
      </w:pPr>
      <w:r>
        <w:rPr>
          <w:rFonts w:ascii="Arial" w:cs="Arial" w:eastAsia="Arial" w:hAnsi="Arial"/>
          <w:sz w:val="24"/>
          <w:szCs w:val="24"/>
        </w:rPr>
        <w:t xml:space="preserve">Branch x Mastercard (2026). “The Solopreneur Report: AI, Fintech and the Rise of One-Person Businesses.” Citato in The European, febbraio 2026.</w:t>
      </w:r>
    </w:p>
    <w:p>
      <w:pPr>
        <w:pStyle w:val="ListParagraph"/>
        <w:numPr>
          <w:ilvl w:val="0"/>
          <w:numId w:val="2"/>
        </w:numPr>
        <w:spacing w:after="40" w:before="40"/>
      </w:pPr>
      <w:r>
        <w:rPr>
          <w:rFonts w:ascii="Arial" w:cs="Arial" w:eastAsia="Arial" w:hAnsi="Arial"/>
          <w:sz w:val="24"/>
          <w:szCs w:val="24"/>
        </w:rPr>
        <w:t xml:space="preserve">China OPC Development Research Report 2026. Citato in Macau Daily Times, maggio 2026.</w:t>
      </w:r>
    </w:p>
    <w:p>
      <w:pPr>
        <w:spacing w:after="80" w:before="80"/>
      </w:pPr>
      <w:r>
        <w:t xml:space="preserve"/>
      </w:r>
    </w:p>
    <w:p>
      <w:pPr>
        <w:pStyle w:val="Heading2"/>
        <w:spacing w:after="140" w:before="280"/>
      </w:pPr>
      <w:r>
        <w:rPr>
          <w:rFonts w:ascii="Arial" w:cs="Arial" w:eastAsia="Arial" w:hAnsi="Arial"/>
          <w:b/>
          <w:bCs/>
          <w:color w:val="2E75B6"/>
          <w:sz w:val="26"/>
          <w:szCs w:val="26"/>
        </w:rPr>
        <w:t xml:space="preserve">Il Caso Suzhou e le Politiche Pubbliche</w:t>
      </w:r>
    </w:p>
    <w:p>
      <w:pPr>
        <w:pStyle w:val="ListParagraph"/>
        <w:numPr>
          <w:ilvl w:val="0"/>
          <w:numId w:val="2"/>
        </w:numPr>
        <w:spacing w:after="40" w:before="40"/>
      </w:pPr>
      <w:r>
        <w:rPr>
          <w:rFonts w:ascii="Arial" w:cs="Arial" w:eastAsia="Arial" w:hAnsi="Arial"/>
          <w:sz w:val="24"/>
          <w:szCs w:val="24"/>
        </w:rPr>
        <w:t xml:space="preserve">Xinhua (2026). “Across China: AI-driven ‘One Person Company’ sparks new entrepreneurial boom.” english.news.cn, 2 aprile 2026.</w:t>
      </w:r>
    </w:p>
    <w:p>
      <w:pPr>
        <w:pStyle w:val="ListParagraph"/>
        <w:numPr>
          <w:ilvl w:val="0"/>
          <w:numId w:val="2"/>
        </w:numPr>
        <w:spacing w:after="40" w:before="40"/>
      </w:pPr>
      <w:r>
        <w:rPr>
          <w:rFonts w:ascii="Arial" w:cs="Arial" w:eastAsia="Arial" w:hAnsi="Arial"/>
          <w:sz w:val="24"/>
          <w:szCs w:val="24"/>
        </w:rPr>
        <w:t xml:space="preserve">36Kr EN (2025). “Suzhou’s ‘Double 11’ Gift: An Individual, a Company, and the Vision and Magnanimity of a City.” eu.36kr.com, 12 novembre 2025.</w:t>
      </w:r>
    </w:p>
    <w:p>
      <w:pPr>
        <w:pStyle w:val="ListParagraph"/>
        <w:numPr>
          <w:ilvl w:val="0"/>
          <w:numId w:val="2"/>
        </w:numPr>
        <w:spacing w:after="40" w:before="40"/>
      </w:pPr>
      <w:r>
        <w:rPr>
          <w:rFonts w:ascii="Arial" w:cs="Arial" w:eastAsia="Arial" w:hAnsi="Arial"/>
          <w:sz w:val="24"/>
          <w:szCs w:val="24"/>
        </w:rPr>
        <w:t xml:space="preserve">36Kr EN (2025). “Empowering OPC: Suzhou Venture Capital Group’s Remarkable Dedication.” eu.36kr.com.</w:t>
      </w:r>
    </w:p>
    <w:p>
      <w:pPr>
        <w:pStyle w:val="ListParagraph"/>
        <w:numPr>
          <w:ilvl w:val="0"/>
          <w:numId w:val="2"/>
        </w:numPr>
        <w:spacing w:after="40" w:before="40"/>
      </w:pPr>
      <w:r>
        <w:rPr>
          <w:rFonts w:ascii="Arial" w:cs="Arial" w:eastAsia="Arial" w:hAnsi="Arial"/>
          <w:sz w:val="24"/>
          <w:szCs w:val="24"/>
        </w:rPr>
        <w:t xml:space="preserve">Baidu Wiki (2026). “One Person Company — An Innovation and Entrepreneurship Model.” baike.baidu.com.</w:t>
      </w:r>
    </w:p>
    <w:p>
      <w:pPr>
        <w:pStyle w:val="ListParagraph"/>
        <w:numPr>
          <w:ilvl w:val="0"/>
          <w:numId w:val="2"/>
        </w:numPr>
        <w:spacing w:after="40" w:before="40"/>
      </w:pPr>
      <w:r>
        <w:rPr>
          <w:rFonts w:ascii="Arial" w:cs="Arial" w:eastAsia="Arial" w:hAnsi="Arial"/>
          <w:sz w:val="24"/>
          <w:szCs w:val="24"/>
        </w:rPr>
        <w:t xml:space="preserve">Macau Daily Times (2026). “The Power of One: The Single-Person Army.” macaudailytimes.com.mo, maggio 2026.</w:t>
      </w:r>
    </w:p>
    <w:p>
      <w:pPr>
        <w:pStyle w:val="ListParagraph"/>
        <w:numPr>
          <w:ilvl w:val="0"/>
          <w:numId w:val="2"/>
        </w:numPr>
        <w:spacing w:after="40" w:before="40"/>
      </w:pPr>
      <w:r>
        <w:rPr>
          <w:rFonts w:ascii="Arial" w:cs="Arial" w:eastAsia="Arial" w:hAnsi="Arial"/>
          <w:sz w:val="24"/>
          <w:szCs w:val="24"/>
        </w:rPr>
        <w:t xml:space="preserve">News Beep / Wall Street Journal (2026). “Flying Solo: The Rise of China’s One-Person Companies.” newsbeep.com, maggio 2026.</w:t>
      </w:r>
    </w:p>
    <w:p>
      <w:pPr>
        <w:pStyle w:val="ListParagraph"/>
        <w:numPr>
          <w:ilvl w:val="0"/>
          <w:numId w:val="2"/>
        </w:numPr>
        <w:spacing w:after="40" w:before="40"/>
      </w:pPr>
      <w:r>
        <w:rPr>
          <w:rFonts w:ascii="Arial" w:cs="Arial" w:eastAsia="Arial" w:hAnsi="Arial"/>
          <w:sz w:val="24"/>
          <w:szCs w:val="24"/>
        </w:rPr>
        <w:t xml:space="preserve">Jiangsu Xiaohu Science &amp; Technology (2026). “How OPC Community Empowers ‘One Man Army’ in Jiangsu.” tigerandtech.com, marzo 2026.</w:t>
      </w:r>
    </w:p>
    <w:p>
      <w:pPr>
        <w:spacing w:after="80" w:before="80"/>
      </w:pPr>
      <w:r>
        <w:t xml:space="preserve"/>
      </w:r>
    </w:p>
    <w:p>
      <w:pPr>
        <w:pStyle w:val="Heading2"/>
        <w:spacing w:after="140" w:before="280"/>
      </w:pPr>
      <w:r>
        <w:rPr>
          <w:rFonts w:ascii="Arial" w:cs="Arial" w:eastAsia="Arial" w:hAnsi="Arial"/>
          <w:b/>
          <w:bCs/>
          <w:color w:val="2E75B6"/>
          <w:sz w:val="26"/>
          <w:szCs w:val="26"/>
        </w:rPr>
        <w:t xml:space="preserve">Metriche di Valutazione PE/VC</w:t>
      </w:r>
    </w:p>
    <w:p>
      <w:pPr>
        <w:pStyle w:val="ListParagraph"/>
        <w:numPr>
          <w:ilvl w:val="0"/>
          <w:numId w:val="2"/>
        </w:numPr>
        <w:spacing w:after="40" w:before="40"/>
      </w:pPr>
      <w:r>
        <w:rPr>
          <w:rFonts w:ascii="Arial" w:cs="Arial" w:eastAsia="Arial" w:hAnsi="Arial"/>
          <w:sz w:val="24"/>
          <w:szCs w:val="24"/>
        </w:rPr>
        <w:t xml:space="preserve">IPEV Board (2025). “International Private Equity and Venture Capital Valuation Guidelines — Edizione Dicembre 2025.” privateequityvaluation.com. In vigore dal 1° aprile 2026.</w:t>
      </w:r>
    </w:p>
    <w:p>
      <w:pPr>
        <w:pStyle w:val="ListParagraph"/>
        <w:numPr>
          <w:ilvl w:val="0"/>
          <w:numId w:val="2"/>
        </w:numPr>
        <w:spacing w:after="40" w:before="40"/>
      </w:pPr>
      <w:r>
        <w:rPr>
          <w:rFonts w:ascii="Arial" w:cs="Arial" w:eastAsia="Arial" w:hAnsi="Arial"/>
          <w:sz w:val="24"/>
          <w:szCs w:val="24"/>
        </w:rPr>
        <w:t xml:space="preserve">KPMG (2026). “IPEV 2025: Unchanged Principles, but More Clarified Expectations.” kpmg.com, gennaio 2026.</w:t>
      </w:r>
    </w:p>
    <w:p>
      <w:pPr>
        <w:pStyle w:val="ListParagraph"/>
        <w:numPr>
          <w:ilvl w:val="0"/>
          <w:numId w:val="2"/>
        </w:numPr>
        <w:spacing w:after="40" w:before="40"/>
      </w:pPr>
      <w:r>
        <w:rPr>
          <w:rFonts w:ascii="Arial" w:cs="Arial" w:eastAsia="Arial" w:hAnsi="Arial"/>
          <w:sz w:val="24"/>
          <w:szCs w:val="24"/>
        </w:rPr>
        <w:t xml:space="preserve">Lincoln International (2026). “Q&amp;A: Update to IPEV Guidelines.” lincolninternational.com, gennaio 2026.</w:t>
      </w:r>
    </w:p>
    <w:p>
      <w:pPr>
        <w:pStyle w:val="ListParagraph"/>
        <w:numPr>
          <w:ilvl w:val="0"/>
          <w:numId w:val="2"/>
        </w:numPr>
        <w:spacing w:after="40" w:before="40"/>
      </w:pPr>
      <w:r>
        <w:rPr>
          <w:rFonts w:ascii="Arial" w:cs="Arial" w:eastAsia="Arial" w:hAnsi="Arial"/>
          <w:sz w:val="24"/>
          <w:szCs w:val="24"/>
        </w:rPr>
        <w:t xml:space="preserve">ScaleX Invest (2025). “IPEV 2025 Guidelines Update: Why Your Valuation Model Needs an Upgrade.” scalex-invest.com, dicembre 2025.</w:t>
      </w:r>
    </w:p>
    <w:p>
      <w:pPr>
        <w:pStyle w:val="ListParagraph"/>
        <w:numPr>
          <w:ilvl w:val="0"/>
          <w:numId w:val="2"/>
        </w:numPr>
        <w:spacing w:after="40" w:before="40"/>
      </w:pPr>
      <w:r>
        <w:rPr>
          <w:rFonts w:ascii="Arial" w:cs="Arial" w:eastAsia="Arial" w:hAnsi="Arial"/>
          <w:sz w:val="24"/>
          <w:szCs w:val="24"/>
        </w:rPr>
        <w:t xml:space="preserve">Cambridge Associates (2025). “2025 Outlook: Private Equity &amp; Venture Capital.” cambridgeassociates.com.</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1"/>
      </w:pBdr>
      <w:spacing w:before="80"/>
      <w:jc w:val="center"/>
    </w:pPr>
    <w:r>
      <w:rPr>
        <w:rFonts w:ascii="Arial" w:cs="Arial" w:eastAsia="Arial" w:hAnsi="Arial"/>
        <w:color w:val="888888"/>
        <w:sz w:val="18"/>
        <w:szCs w:val="18"/>
      </w:rPr>
      <w:t xml:space="preserve">Documento elaborato con assistenza AI  |  </w:t>
    </w:r>
    <w:r>
      <w:rPr>
        <w:rFonts w:ascii="Arial" w:cs="Arial" w:eastAsia="Arial" w:hAnsi="Arial"/>
        <w:color w:val="888888"/>
        <w:sz w:val="18"/>
        <w:szCs w:val="18"/>
      </w:rPr>
      <w:fldChar w:fldCharType="begin"/>
      <w:instrText xml:space="preserve">PAGE</w:instrText>
      <w:fldChar w:fldCharType="separate"/>
      <w:fldChar w:fldCharType="end"/>
    </w:r>
    <w:r>
      <w:rPr>
        <w:rFonts w:ascii="Arial" w:cs="Arial" w:eastAsia="Arial" w:hAnsi="Arial"/>
        <w:color w:val="888888"/>
        <w:sz w:val="18"/>
        <w:szCs w:val="18"/>
      </w:rPr>
      <w:t xml:space="preserve"> / </w:t>
    </w:r>
    <w:r>
      <w:rPr>
        <w:rFonts w:ascii="Arial" w:cs="Arial" w:eastAsia="Arial" w:hAnsi="Arial"/>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space="1"/>
      </w:pBdr>
      <w:spacing w:after="80"/>
    </w:pPr>
    <w:r>
      <w:rPr>
        <w:rFonts w:ascii="Arial" w:cs="Arial" w:eastAsia="Arial" w:hAnsi="Arial"/>
        <w:i/>
        <w:iCs/>
        <w:color w:val="2E75B6"/>
        <w:sz w:val="18"/>
        <w:szCs w:val="18"/>
      </w:rPr>
      <w:t xml:space="preserve">Le Start Up Solopreneur (OPC) e il Cambio delle Metriche PE/VC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1F3864"/>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2026-05-28T16:28:34.023Z</dcterms:created>
  <dcterms:modified xsi:type="dcterms:W3CDTF">2026-05-28T16:28:34.023Z</dcterms:modified>
</cp:coreProperties>
</file>

<file path=docProps/custom.xml><?xml version="1.0" encoding="utf-8"?>
<Properties xmlns="http://schemas.openxmlformats.org/officeDocument/2006/custom-properties" xmlns:vt="http://schemas.openxmlformats.org/officeDocument/2006/docPropsVTypes"/>
</file>