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0A6D" w:rsidRDefault="00000000">
      <w:pPr>
        <w:pStyle w:val="Title"/>
        <w:jc w:val="center"/>
      </w:pPr>
      <w:r>
        <w:t>L'Era delle One-Person Companies (OPC)</w:t>
      </w:r>
    </w:p>
    <w:p w:rsidR="00250A6D" w:rsidRDefault="00000000">
      <w:pPr>
        <w:pStyle w:val="Heading1"/>
        <w:jc w:val="center"/>
      </w:pPr>
      <w:r>
        <w:t>Nuove Metriche di Valutazione per PE e VC:</w:t>
      </w:r>
      <w:r>
        <w:br/>
        <w:t>Il Caso Suzhou e il Ritardo Europeo/Italiano</w:t>
      </w:r>
    </w:p>
    <w:p w:rsidR="00250A6D" w:rsidRDefault="00250A6D"/>
    <w:p w:rsidR="00250A6D" w:rsidRDefault="00000000">
      <w:pPr>
        <w:pStyle w:val="Heading2"/>
      </w:pPr>
      <w:r>
        <w:t>Executive Summary</w:t>
      </w:r>
    </w:p>
    <w:p w:rsidR="00250A6D" w:rsidRDefault="00000000">
      <w:r>
        <w:t>L'emergere delle One-Person Companies (OPC), abilitate dall'AI, sta ridefinendo i paradigmi dell'imprenditoria. Questo modello, in cui un singolo individuo (il "solopreneur") gestisce l'intero ciclo aziendale tramite agenti AI e automazione, rende obsolete le tradizionali metriche di valutazione basate su headcount. Dario Amodei (Anthropic) stima con il 70-80% di probabilità la nascita della prima OPC da 1 miliardo di dollari entro il 2026. Questo documento analizza il divario tra la reazione strutturata cinese (il caso Suzhou), il pragmatismo americano e il ritardo normativo europeo, con un focus specifico sulle sfide del contesto italiano.</w:t>
      </w:r>
    </w:p>
    <w:p w:rsidR="00250A6D" w:rsidRDefault="00000000">
      <w:pPr>
        <w:pStyle w:val="Heading2"/>
      </w:pPr>
      <w:r>
        <w:t>1. Il Cambio di Paradigma nelle Metriche di Valutazione per PE e VC</w:t>
      </w:r>
    </w:p>
    <w:p w:rsidR="00250A6D" w:rsidRDefault="00000000">
      <w:r>
        <w:t>Storicamente, la Due Diligence misurava la scalabilità in base all'espansione dell'organico, al burn rate e al management team. Il bias verso i team multi-founder è ancora dominante: i solo founder rappresentano il 36,3% delle startup (dato metà 2025) ma raccolgono solo il 15% del capitale. Le OPC sovvertono queste metriche:</w:t>
      </w:r>
    </w:p>
    <w:p w:rsidR="00250A6D" w:rsidRDefault="00000000">
      <w:pPr>
        <w:pStyle w:val="ListBullet"/>
      </w:pPr>
      <w:r>
        <w:rPr>
          <w:b/>
        </w:rPr>
        <w:t xml:space="preserve">Fatturato per Addetto (Revenue per Employee) Straordinario: </w:t>
      </w:r>
      <w:r>
        <w:t>Dove i modelli tradizionali generano 200-500.000 dollari per dipendente, startup AI solopreneur come Medvi (401M$ di fatturato al primo anno) o HeadshotPro (3,6M$ ARR) raggiungono metriche senza precedenti. Valutare queste aziende penalizzando la mancanza di team significa applicare un filtro anacronistico.</w:t>
      </w:r>
    </w:p>
    <w:p w:rsidR="00250A6D" w:rsidRDefault="00000000">
      <w:pPr>
        <w:pStyle w:val="ListBullet"/>
      </w:pPr>
      <w:r>
        <w:rPr>
          <w:b/>
        </w:rPr>
        <w:t xml:space="preserve">Dal Costo del Lavoro al Costo Computazionale: </w:t>
      </w:r>
      <w:r>
        <w:t>Uno stack tecnologico completo costa oggi tra 3.000 e 12.000 dollari l'anno, con margini operativi tra il 60 e l'80%. Per fare lo stesso con un team minimo servono oltre 300.000 dollari. Il risparmio ridisegna l'intera struttura dell'economics.</w:t>
      </w:r>
    </w:p>
    <w:p w:rsidR="00250A6D" w:rsidRDefault="00000000">
      <w:pPr>
        <w:pStyle w:val="ListBullet"/>
      </w:pPr>
      <w:r>
        <w:rPr>
          <w:b/>
        </w:rPr>
        <w:t xml:space="preserve">Time-to-Market Compresso: </w:t>
      </w:r>
      <w:r>
        <w:t>Tool come Claude Code comprimono il tempo di sviluppo: un MVP che nel 2020 richiedeva sei mesi e cinque persone, oggi va in produzione in due settimane grazie ai sistemi multi-agente. Il collo di bottiglia non è più la costruzione del prodotto, ma la distribuzione.</w:t>
      </w:r>
    </w:p>
    <w:p w:rsidR="00250A6D" w:rsidRDefault="00000000">
      <w:pPr>
        <w:pStyle w:val="Heading2"/>
      </w:pPr>
      <w:r>
        <w:t>2. L'Approccio Cinese: La Costruzione di un Ecosistema</w:t>
      </w:r>
    </w:p>
    <w:p w:rsidR="00250A6D" w:rsidRDefault="00000000">
      <w:r>
        <w:t>La Cina sta rispondendo con un intervento diretto e verticale, replicato a livello municipale, trattando l'OPC come una nuova unità produttiva industriale:</w:t>
      </w:r>
    </w:p>
    <w:p w:rsidR="00250A6D" w:rsidRDefault="00000000">
      <w:pPr>
        <w:pStyle w:val="ListBullet"/>
      </w:pPr>
      <w:r>
        <w:rPr>
          <w:b/>
        </w:rPr>
        <w:lastRenderedPageBreak/>
        <w:t xml:space="preserve">Incentivi Diretti e Voucher: </w:t>
      </w:r>
      <w:r>
        <w:t>Suzhou mira a formare 1.000 imprenditori singoli entro il 2028 con 30 comunità OPC. Il distretto di Pudong copre costi computazionali fino a 44.000 dollari per solopreneur. Pechino emette voucher per computing e modelli fondazionali.</w:t>
      </w:r>
    </w:p>
    <w:p w:rsidR="00250A6D" w:rsidRDefault="00000000">
      <w:pPr>
        <w:pStyle w:val="ListBullet"/>
      </w:pPr>
      <w:r>
        <w:rPr>
          <w:b/>
        </w:rPr>
        <w:t xml:space="preserve">Infrastruttura Integrata: </w:t>
      </w:r>
      <w:r>
        <w:t>Wuhan offre prestiti agevolati; Hangzhou ha sviluppato un "OPC-OS" per orchestrare le risorse. È una logica industriale applicata alla scala del singolo individuo.</w:t>
      </w:r>
    </w:p>
    <w:p w:rsidR="00250A6D" w:rsidRDefault="00000000">
      <w:pPr>
        <w:pStyle w:val="Heading2"/>
      </w:pPr>
      <w:r>
        <w:t>3. Il Mercato Americano: Il Dominio del Software e Nuovi Operatori</w:t>
      </w:r>
    </w:p>
    <w:p w:rsidR="00250A6D" w:rsidRDefault="00000000">
      <w:r>
        <w:t>Negli Stati Uniti, il fenomeno è guidato dai dati di mercato. Ci sono 29,8 milioni di imprese senza dipendenti che generano il 6,8% del PIL. Il 77% dei solo founder dichiara profittabilità nel primo anno (contro il 54% di chi ha dipendenti).</w:t>
      </w:r>
    </w:p>
    <w:p w:rsidR="00250A6D" w:rsidRDefault="00000000">
      <w:r>
        <w:t>Esempi come Base44 (venduta a Wix per 80 milioni di dollari dopo sei mesi, zero dipendenti) dimostrano la validità del modello. Mentre i grandi VC faticano ad aggiornare i criteri, emergono micro-fondi dedicati e piattaforme come Stripe Atlas o Shopify che costruiscono l'infrastruttura operativa per far nascere queste entità, agendo secondo le logiche di mercato anziché su spinte governative.</w:t>
      </w:r>
    </w:p>
    <w:p w:rsidR="00250A6D" w:rsidRDefault="00000000">
      <w:pPr>
        <w:pStyle w:val="Heading2"/>
      </w:pPr>
      <w:r>
        <w:t>4. Il Divario Europeo e il Disallineamento Italiano</w:t>
      </w:r>
    </w:p>
    <w:p w:rsidR="00250A6D" w:rsidRDefault="00000000">
      <w:r>
        <w:t>Se la Cina anticipa e gli USA reagiscono tramite il mercato libero, l'Europa è "presente ma senza agenda". Il Regno Unito e i Paesi Bassi vedono crescere le OPC SaaS, ma il contesto continentale è frenato da fiscalità frammentate e dai pesanti requisiti di compliance dell'AI Act, che fungono da barriera d'ingresso.</w:t>
      </w:r>
    </w:p>
    <w:p w:rsidR="00250A6D" w:rsidRDefault="00000000">
      <w:r>
        <w:t>Il caso italiano è emblematico del disallineamento strutturale tra innovazione e burocrazia:</w:t>
      </w:r>
    </w:p>
    <w:p w:rsidR="00250A6D" w:rsidRDefault="00000000">
      <w:pPr>
        <w:pStyle w:val="ListBullet"/>
      </w:pPr>
      <w:r>
        <w:rPr>
          <w:b/>
        </w:rPr>
        <w:t xml:space="preserve">La Fine degli Incentivi: </w:t>
      </w:r>
      <w:r>
        <w:t>Dal 1° gennaio 2026, la detrazione del 30% per le startup innovative è sospesa.</w:t>
      </w:r>
    </w:p>
    <w:p w:rsidR="00250A6D" w:rsidRDefault="00000000">
      <w:pPr>
        <w:pStyle w:val="ListBullet"/>
      </w:pPr>
      <w:r>
        <w:rPr>
          <w:b/>
        </w:rPr>
        <w:t xml:space="preserve">Criteri Anacronistici: </w:t>
      </w:r>
      <w:r>
        <w:t>Strumenti come Smart&amp;Start Italia presuppongono strutture complesse e piani industriali standard. La definizione legale di "startup innovativa" richiede R&amp;D formale e personale qualificato, escludendo a priori un founder singolo che genera milioni con uno stack da 8.000 euro.</w:t>
      </w:r>
    </w:p>
    <w:p w:rsidR="00250A6D" w:rsidRDefault="00000000">
      <w:pPr>
        <w:pStyle w:val="ListBullet"/>
      </w:pPr>
      <w:r>
        <w:rPr>
          <w:b/>
        </w:rPr>
        <w:t xml:space="preserve">Mancanza di Riconoscimento: </w:t>
      </w:r>
      <w:r>
        <w:t>Il sistema statale supporta forme organizzative che l'AI sta rendendo obsolete, lasciando scoperte le OPC, che di conseguenza crescono fuori dai canali ufficiali o delocalizzano.</w:t>
      </w:r>
    </w:p>
    <w:p w:rsidR="00250A6D" w:rsidRDefault="00000000">
      <w:pPr>
        <w:pStyle w:val="Heading2"/>
      </w:pPr>
      <w:r>
        <w:t>5. Considerazioni Strategiche e Prospettive per M&amp;A</w:t>
      </w:r>
    </w:p>
    <w:p w:rsidR="00250A6D" w:rsidRDefault="00000000">
      <w:r>
        <w:t>Quando nascerà il primo "One-Person Unicorn" (probabilmente entro la fine di quest'anno), sarà con molta probabilità registrato fuori dall'Europa. L'M&amp;A sarà il driver principale per l'exit di queste realtà: non IPO, ma acquisizioni mirate (come nel caso di Base44 e Wix) per incamerare IP architetturale ed efficienze estreme.</w:t>
      </w:r>
    </w:p>
    <w:p w:rsidR="00250A6D" w:rsidRDefault="00000000">
      <w:r>
        <w:lastRenderedPageBreak/>
        <w:t>I fondi di Private Equity che adegueranno per primi la Due Diligence a queste nuove metriche—focalizzandosi sui ricavi per dipendente, il costo computazionale e l'orchestrazione algoritmica—si assicureranno il vantaggio competitivo in questo nuovo ciclo economico.</w:t>
      </w:r>
    </w:p>
    <w:sectPr w:rsidR="00250A6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02353739">
    <w:abstractNumId w:val="8"/>
  </w:num>
  <w:num w:numId="2" w16cid:durableId="1364329211">
    <w:abstractNumId w:val="6"/>
  </w:num>
  <w:num w:numId="3" w16cid:durableId="2024355655">
    <w:abstractNumId w:val="5"/>
  </w:num>
  <w:num w:numId="4" w16cid:durableId="415707857">
    <w:abstractNumId w:val="4"/>
  </w:num>
  <w:num w:numId="5" w16cid:durableId="1342004955">
    <w:abstractNumId w:val="7"/>
  </w:num>
  <w:num w:numId="6" w16cid:durableId="1322001832">
    <w:abstractNumId w:val="3"/>
  </w:num>
  <w:num w:numId="7" w16cid:durableId="1968390206">
    <w:abstractNumId w:val="2"/>
  </w:num>
  <w:num w:numId="8" w16cid:durableId="1199582985">
    <w:abstractNumId w:val="1"/>
  </w:num>
  <w:num w:numId="9" w16cid:durableId="470099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0A6D"/>
    <w:rsid w:val="0029639D"/>
    <w:rsid w:val="00326F90"/>
    <w:rsid w:val="00AA1D8D"/>
    <w:rsid w:val="00B47730"/>
    <w:rsid w:val="00CB0664"/>
    <w:rsid w:val="00FC693F"/>
    <w:rsid w:val="00FE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300"/>
  <w15:docId w15:val="{FEC2CA0B-1EEA-1E4A-9C10-D908E1015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2</cp:revision>
  <dcterms:created xsi:type="dcterms:W3CDTF">2026-05-28T17:00:00Z</dcterms:created>
  <dcterms:modified xsi:type="dcterms:W3CDTF">2026-05-28T17:00:00Z</dcterms:modified>
  <cp:category/>
</cp:coreProperties>
</file>